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ПРИЛОЖЕНИЕ  2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 Порядку проведения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ind w:left="0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  <w:t xml:space="preserve">Перечень документов, обосновывающих целесообразность создания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ind w:left="0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</w:t>
      </w:r>
      <w: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изнес-план создания и (или) развития индустриального (промышленного) парка, агропромышленного парка, бизнес-парка, технопарка, промышленного технопарка, включающего в том числе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целей и задач, целесообразности и предпосылок реализации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спроса на услуги и обоснование основных показателей деятельности такого индустриально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 (промышленного) парка, агропромышленного парка, бизнес-парка, технопарка, промышленного технопарка (включая обоснование характеристик земельных участков, объектов недвижимости, объектов инфраструктуры, специализации и зонирования территории и помещений)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анализ потребностей его потенциальных резидентов (с указанием источников полученных сведений)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источников и условий финансирования создания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оценку имеющихся и возможных рисков, а также мероприятий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нивелированию негативных последствий возникновения таких рисков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оценку результативности и эффективности реализации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направлений расходования бюджетных (с детализацией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федеральную и региональную часть) и внебюджетных средств субсидии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развитие индустриальног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(промышленного) парка, агропромышленного парка, бизнес-парка, технопарка, промышленного технопарка, с указанием конкретных объектов недвижимости, в отношении которых будут осуществлены затраты, сумм и сроков осуществления инвестирования денежных средств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каждому объекту недвижимости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условий и этапов размещения резидентов;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 Мастер-план территории индустриального (промышленного) парка, агропромышленного парка, бизнес-парка, технопарка, промышленного технопарка, в котором указаны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территории индустриального (промышленного) парка, агропромышленного парка, бизнес-парка, технопарка, промышленного технопарка промышленной и (или) технологической инфраструктурой или схем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застройки индустриального (промышленного) парка,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агропромышленного парка, бизнес-парка, технопарка, промышленного технопарка с указанием масштаба;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схема расположения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территории индустриального (промышленного) парка, агропромышленного парка, бизнес-парка, технопарка, промышленного технопарка с указанием их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полезн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земельных участков, расположенных на территории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предназначенных для размещения производств резидентов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схема расположения зданий, строений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технопарка, предполагаемых к строительству и реконструкции с указанием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полезн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зданий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строений, расположенных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территории индустриального (промышленного) парка,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предназначенных для размещения и ведения деятельности резидентов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размещения резидентов и (или) потенциальных резидентов </w:t>
      </w:r>
      <w:r>
        <w:rPr>
          <w:rFonts w:ascii="Times New Roman" w:hAnsi="Times New Roman" w:cs="Times New Roman"/>
          <w:sz w:val="28"/>
          <w:szCs w:val="28"/>
        </w:rPr>
        <w:t xml:space="preserve">индустриального (промышленного) парка,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агропромышленного парка, бизнес-парка, технопарка, промышленного технопарка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пользователей инфраструктуры индустриального (промышленного) парка,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агропромышленного парка, бизнес-парка, технопарка, промышленного технопарка;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сведения о действующей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планируемой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коммунальной и транспортной инфраструктуре.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 Финансовая модель создания и (или) развития индустриального (промышленного) парка, агропромышленного парка, бизнес-парка, технопарка, промы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шленного технопарка, предусматривающая несколько вариантов развития проекта по созданию и (или) развитию индустриального (промышленного) парка, агропромышленного парка, бизнес-парка, технопарка, промышленного технопарка (базовый, перспективный, негативный)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расчеты основных показателей эффективности проекта по созданию и (или) развитию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Период окупаемости проекта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в соответствии с базовым вариантом не может превышать 10 лет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даты его ввода в эксплуатацию.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 Пояснительная записка, включающая в себя основные данные бизнес-плана, мастер-плана и финансовой модели индустриального (промышленного) парка, агропромышленного парка, бизнес-парка, технопарка, промышлен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технопарка, а также степени влияни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мероприятия по созданию и (или) развитию индустриального (промышленного) парка, агропромышленного парка, бизнес-парка, промышленного технопарка, технопарка на показатели национального проекта «Эффективная и конкурентная экономика» и федерального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«Малое и среднее предпринимательство и поддержка индивидуальной предпринимательской инициативы»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Документы об утверждении проектно-сметной документации (при ее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 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опия положительного заключения государственной экспертизы проектной документации, проведенной в объеме проверки достоверности определения сметной стоимости строительства, реконструкции, и результатов инженерных изысканий, выполненных для подготовки такой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роектной документации (при наличии).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Копии документов, подтверждающих осуществление затрат застройщика или управляющей компании на создание и (или) развитие объекта капитального строительства за 3-летний период, предшествующий году представления документов (при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8. 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Копии сводных сметных расчетов стоимости строительства (реконструкции, в том числе с элементами реставрации, технического перевооружения) объектов капитального строительства (при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9. 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Локальная смета на закупку материально-технических ресурсов (в отношении объектов капитального строительства, по которым планируется закупка материально-технических ресурсов) (при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10. К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опия разрешения на ввод объекта в эксплуатацию (при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11. 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опия правоустанавливающего документа, свидетельствующего о наличии права собственности управляющей компании или застройщика на земельный участок, или копия зарегистрированного в соответствии с законодательством Российской Федерации договора долгосрочной ар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нды (со сроком аренды более 5 лет на дату представления документов), заключенного управляющей компанией или застройщиком с органами государственной власти субъекта Российской Федерации или органами местного самоуправления на территории такого субъекта Росс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ийской Федерации, а также выписка из Единого государственного реестра недвижимости по такому земельному участку (при наличии).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12. Копии предварительных и (или) заключенных соглашений (соглашений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намерениях) с субъектами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МСП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(резидентами, потенциальными резидентами индустриального (промышленного) парка, агропромышленного парка, бизнес-парка, технопарка, промышленного технопарка)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менее чем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20% полезной площади зданий (помещений, строений) и (или)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территории индустриального (промышленного) парка, агропромышленного парка, бизнес-парка, технопарка, промышленного технопарка (при наличии)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13. 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Копии документов, подтверждающих взаимодействие резидентов (потенциальных резидентов)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между собой (кооперационные цепочки) (при наличии).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Arial" w:hAnsi="Arial" w:eastAsia="Arial" w:cs="Arial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14. Копии актов об осуществлении технологического присоединения к сетям электроснабжения, и (или) технических условий на техническое присоединение к сетям электроснабжения, и (или) выписок из Единого государственного реестра недвижимости и актов об осу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ществлении тех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нологического присоединения к сетям электроснабжения, и (или) договоров на осуществление электроснабжения и актов об осуществлении технологического присоединения к сетям электроснабжения, и (или) актов разграничения балансовой принадлежности (при наличии).</w:t>
      </w:r>
      <w:r>
        <w:rPr>
          <w:rFonts w:ascii="Arial" w:hAnsi="Arial" w:eastAsia="Arial" w:cs="Arial"/>
          <w:b w:val="0"/>
          <w:i w:val="0"/>
          <w:strike w:val="0"/>
          <w:sz w:val="18"/>
          <w:szCs w:val="18"/>
        </w:rPr>
      </w:r>
      <w:r>
        <w:rPr>
          <w:rFonts w:ascii="Arial" w:hAnsi="Arial" w:eastAsia="Arial" w:cs="Arial"/>
          <w:b w:val="0"/>
          <w:i w:val="0"/>
          <w:strike w:val="0"/>
          <w:sz w:val="18"/>
          <w:szCs w:val="1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15. Копии актов об осуществлении технологического присоединения к сетям газоснабжения и (или) те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плоснабжения, и (или) технических условий на технологическое присоединение к сетям газоснабжения и (или) теплоснабжения, и (или) выписок из Единого государственного реестра недвижимости и актов об осуществлении технического присоединения к сетям газоснабже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ния и (или) те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плоснабжения, и (или) договоров на осуществление газоснабжения и (или) теплоснабжения и актов об осуществлении технологического присоединения к сетям газоснабжения и (или) теплоснабжения, и (или) актов разграничения балансовой принадлежности (при наличии).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16. Копии актов об осуществлении технологического присоединения к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сетям водоснабжения и водоотведения, и (или) технических условий на технологическое присоединение к сетям водоснабжения и водоотведения, и (или) выписок из Единого государственного реестра недвижимости и актов об осуществлении технологического присоединен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ия к сетям вод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оснабжения и водоотведения, и (или) договоров на осуществление водоснабжения и водоотведения и актов об осуществлении технологического присоединения к сетям водоснабжения и водоотведения, и (или) актов разграничения балансовой принадлежности (при наличии).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17. Документы, гарантирующие (подтверждающие) выполнение обязательства управляющей ком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пании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об объеме обязательного внебюджетного софинансирования проекта по созданию и (или) развитию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 (при наличии)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0" w:right="0" w:firstLine="0"/>
        <w:jc w:val="center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5953" w:right="0" w:firstLine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</w:pPr>
    <w:fldSimple w:instr="PAGE \* MERGEFORMAT">
      <w:r>
        <w:rPr>
          <w:rFonts w:ascii="Times New Roman" w:hAnsi="Times New Roman" w:eastAsia="Times New Roman" w:cs="Times New Roman"/>
          <w:sz w:val="20"/>
          <w:szCs w:val="20"/>
        </w:rPr>
        <w:t xml:space="preserve">1</w:t>
      </w:r>
    </w:fldSimple>
    <w:r>
      <w:rPr>
        <w:rFonts w:ascii="Times New Roman" w:hAnsi="Times New Roman" w:eastAsia="Times New Roman" w:cs="Times New Roman"/>
        <w:sz w:val="20"/>
        <w:szCs w:val="20"/>
      </w:rPr>
    </w:r>
    <w:r>
      <w:rPr>
        <w:rFonts w:ascii="Times New Roman" w:hAnsi="Times New Roman" w:eastAsia="Times New Roman" w:cs="Times New Roman"/>
        <w:sz w:val="20"/>
        <w:szCs w:val="20"/>
      </w:rPr>
    </w:r>
    <w:r/>
  </w:p>
  <w:p>
    <w:pPr>
      <w:pStyle w:val="7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7"/>
    <w:next w:val="867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>
    <w:name w:val="Heading 1 Char"/>
    <w:link w:val="691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7"/>
    <w:next w:val="867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721"/>
    <w:link w:val="719"/>
    <w:uiPriority w:val="99"/>
  </w:style>
  <w:style w:type="table" w:styleId="723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No Spacing"/>
    <w:basedOn w:val="867"/>
    <w:uiPriority w:val="1"/>
    <w:qFormat/>
    <w:pPr>
      <w:spacing w:after="0" w:line="240" w:lineRule="auto"/>
    </w:pPr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character" w:styleId="872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2025-04-15T06:55:53Z</dcterms:modified>
</cp:coreProperties>
</file>